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0"/>
          <w:szCs w:val="30"/>
        </w:rPr>
      </w:pPr>
      <w:r>
        <w:rPr>
          <w:rFonts w:hint="eastAsia"/>
          <w:sz w:val="30"/>
          <w:szCs w:val="30"/>
        </w:rPr>
        <w:t>2017年度大气科学领域青年学者前沿科学论坛学术预告</w:t>
      </w:r>
    </w:p>
    <w:p>
      <w:pPr>
        <w:spacing w:line="360" w:lineRule="auto"/>
        <w:rPr>
          <w:sz w:val="30"/>
          <w:szCs w:val="30"/>
        </w:rPr>
      </w:pPr>
    </w:p>
    <w:p>
      <w:pPr>
        <w:spacing w:line="360" w:lineRule="auto"/>
        <w:ind w:firstLine="600" w:firstLineChars="200"/>
        <w:rPr>
          <w:sz w:val="30"/>
          <w:szCs w:val="30"/>
        </w:rPr>
      </w:pPr>
      <w:r>
        <w:rPr>
          <w:rFonts w:hint="eastAsia"/>
          <w:sz w:val="30"/>
          <w:szCs w:val="30"/>
        </w:rPr>
        <w:t>为加强国内相关高校及科研院所等单位青年学者之间的交流合作，提高我国的气候系统和气候变化科研水平，增进对气候变化及其影响的科学认知，大气科学学院拟举办2017年度大气科学领域青年学者前沿科学论坛，围绕大气科学领域国际前沿及热点问题，开展学术报告交流和研讨。参加此次论坛的校外专家共14人，来自中国科学院青藏高原研究所、中国科学院安徽光电所、中国气象科学研究院、国家气候中心、浙江大学、兰州大学、中国科学技术大学、北京师范大学、云南大学等科研院所或高校。参加研讨的还包括校内专家和研究生。论坛报告地址：气象楼310。论坛时间：11月18日。欢迎各位老师和研究生参加此次科学论坛。</w:t>
      </w:r>
    </w:p>
    <w:p>
      <w:pPr>
        <w:spacing w:line="360" w:lineRule="auto"/>
        <w:rPr>
          <w:rFonts w:hint="eastAsia"/>
          <w:sz w:val="30"/>
          <w:szCs w:val="30"/>
        </w:rPr>
      </w:pPr>
    </w:p>
    <w:p>
      <w:pPr>
        <w:spacing w:line="360" w:lineRule="auto"/>
        <w:ind w:firstLine="600" w:firstLineChars="200"/>
        <w:rPr>
          <w:sz w:val="30"/>
          <w:szCs w:val="30"/>
        </w:rPr>
      </w:pPr>
    </w:p>
    <w:p>
      <w:pPr>
        <w:spacing w:line="360" w:lineRule="auto"/>
        <w:ind w:firstLine="600" w:firstLineChars="200"/>
        <w:rPr>
          <w:sz w:val="30"/>
          <w:szCs w:val="30"/>
        </w:rPr>
      </w:pPr>
    </w:p>
    <w:p>
      <w:pPr>
        <w:widowControl/>
        <w:jc w:val="left"/>
        <w:rPr>
          <w:sz w:val="30"/>
          <w:szCs w:val="30"/>
        </w:rPr>
      </w:pPr>
      <w:r>
        <w:rPr>
          <w:sz w:val="30"/>
          <w:szCs w:val="30"/>
        </w:rPr>
        <w:br w:type="page"/>
      </w:r>
    </w:p>
    <w:p>
      <w:pPr>
        <w:spacing w:line="360" w:lineRule="auto"/>
        <w:ind w:firstLine="600" w:firstLineChars="200"/>
        <w:rPr>
          <w:rFonts w:hint="eastAsia"/>
          <w:sz w:val="30"/>
          <w:szCs w:val="30"/>
        </w:rPr>
      </w:pPr>
      <w:r>
        <w:rPr>
          <w:rFonts w:hint="eastAsia"/>
          <w:sz w:val="30"/>
          <w:szCs w:val="30"/>
        </w:rPr>
        <w:t>附：论坛报告</w:t>
      </w:r>
      <w:bookmarkStart w:id="0" w:name="_GoBack"/>
      <w:bookmarkEnd w:id="0"/>
    </w:p>
    <w:p>
      <w:pPr>
        <w:jc w:val="center"/>
        <w:rPr>
          <w:szCs w:val="21"/>
        </w:rPr>
      </w:pPr>
    </w:p>
    <w:tbl>
      <w:tblPr>
        <w:tblStyle w:val="5"/>
        <w:tblW w:w="13178" w:type="dxa"/>
        <w:tblInd w:w="0" w:type="dxa"/>
        <w:tblLayout w:type="fixed"/>
        <w:tblCellMar>
          <w:top w:w="15" w:type="dxa"/>
          <w:left w:w="15" w:type="dxa"/>
          <w:bottom w:w="15" w:type="dxa"/>
          <w:right w:w="15" w:type="dxa"/>
        </w:tblCellMar>
      </w:tblPr>
      <w:tblGrid>
        <w:gridCol w:w="1549"/>
        <w:gridCol w:w="5676"/>
        <w:gridCol w:w="1701"/>
        <w:gridCol w:w="1275"/>
        <w:gridCol w:w="2977"/>
      </w:tblGrid>
      <w:tr>
        <w:tblPrEx>
          <w:tblLayout w:type="fixed"/>
          <w:tblCellMar>
            <w:top w:w="15" w:type="dxa"/>
            <w:left w:w="15" w:type="dxa"/>
            <w:bottom w:w="15" w:type="dxa"/>
            <w:right w:w="15" w:type="dxa"/>
          </w:tblCellMar>
        </w:tblPrEx>
        <w:trPr>
          <w:trHeight w:val="72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8:30-8:55</w:t>
            </w:r>
          </w:p>
        </w:tc>
        <w:tc>
          <w:tcPr>
            <w:tcW w:w="5676"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中国春季降水的年际变化和可预报性</w:t>
            </w:r>
          </w:p>
        </w:tc>
        <w:tc>
          <w:tcPr>
            <w:tcW w:w="1701"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贾晓静</w:t>
            </w:r>
          </w:p>
        </w:tc>
        <w:tc>
          <w:tcPr>
            <w:tcW w:w="1275"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教授</w:t>
            </w:r>
          </w:p>
        </w:tc>
        <w:tc>
          <w:tcPr>
            <w:tcW w:w="29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浙江大学</w:t>
            </w:r>
          </w:p>
        </w:tc>
      </w:tr>
      <w:tr>
        <w:tblPrEx>
          <w:tblLayout w:type="fixed"/>
          <w:tblCellMar>
            <w:top w:w="15" w:type="dxa"/>
            <w:left w:w="15" w:type="dxa"/>
            <w:bottom w:w="15" w:type="dxa"/>
            <w:right w:w="15" w:type="dxa"/>
          </w:tblCellMar>
        </w:tblPrEx>
        <w:trPr>
          <w:trHeight w:val="72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8:55-9:20</w:t>
            </w:r>
          </w:p>
        </w:tc>
        <w:tc>
          <w:tcPr>
            <w:tcW w:w="5676"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辐射因子对半干旱区强化增温的作用</w:t>
            </w:r>
          </w:p>
        </w:tc>
        <w:tc>
          <w:tcPr>
            <w:tcW w:w="1701"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管晓丹</w:t>
            </w:r>
          </w:p>
        </w:tc>
        <w:tc>
          <w:tcPr>
            <w:tcW w:w="1275"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教授</w:t>
            </w:r>
          </w:p>
        </w:tc>
        <w:tc>
          <w:tcPr>
            <w:tcW w:w="2977"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兰州大学</w:t>
            </w:r>
          </w:p>
        </w:tc>
      </w:tr>
      <w:tr>
        <w:tblPrEx>
          <w:tblLayout w:type="fixed"/>
          <w:tblCellMar>
            <w:top w:w="15" w:type="dxa"/>
            <w:left w:w="15" w:type="dxa"/>
            <w:bottom w:w="15" w:type="dxa"/>
            <w:right w:w="15" w:type="dxa"/>
          </w:tblCellMar>
        </w:tblPrEx>
        <w:trPr>
          <w:trHeight w:val="72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kern w:val="0"/>
                <w:sz w:val="24"/>
                <w:szCs w:val="21"/>
              </w:rPr>
              <w:t>9:20-9:45</w:t>
            </w:r>
          </w:p>
        </w:tc>
        <w:tc>
          <w:tcPr>
            <w:tcW w:w="5676"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中国气溶胶光学辐射特性地基观测</w:t>
            </w:r>
          </w:p>
        </w:tc>
        <w:tc>
          <w:tcPr>
            <w:tcW w:w="1701"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车慧正</w:t>
            </w:r>
          </w:p>
        </w:tc>
        <w:tc>
          <w:tcPr>
            <w:tcW w:w="1275"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研究员</w:t>
            </w:r>
          </w:p>
        </w:tc>
        <w:tc>
          <w:tcPr>
            <w:tcW w:w="29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中国气象科学研究院</w:t>
            </w:r>
          </w:p>
        </w:tc>
      </w:tr>
      <w:tr>
        <w:tblPrEx>
          <w:tblLayout w:type="fixed"/>
          <w:tblCellMar>
            <w:top w:w="15" w:type="dxa"/>
            <w:left w:w="15" w:type="dxa"/>
            <w:bottom w:w="15" w:type="dxa"/>
            <w:right w:w="15" w:type="dxa"/>
          </w:tblCellMar>
        </w:tblPrEx>
        <w:trPr>
          <w:trHeight w:val="72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kern w:val="0"/>
                <w:sz w:val="24"/>
                <w:szCs w:val="21"/>
              </w:rPr>
              <w:t>9:45-10:10</w:t>
            </w:r>
          </w:p>
        </w:tc>
        <w:tc>
          <w:tcPr>
            <w:tcW w:w="5676"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青藏高原区域能量和水分循环卫星遥感应用研究</w:t>
            </w:r>
          </w:p>
        </w:tc>
        <w:tc>
          <w:tcPr>
            <w:tcW w:w="1701"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马伟强</w:t>
            </w:r>
          </w:p>
        </w:tc>
        <w:tc>
          <w:tcPr>
            <w:tcW w:w="1275"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研究员</w:t>
            </w:r>
          </w:p>
        </w:tc>
        <w:tc>
          <w:tcPr>
            <w:tcW w:w="2977"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中国科学院青藏所</w:t>
            </w:r>
          </w:p>
        </w:tc>
      </w:tr>
      <w:tr>
        <w:tblPrEx>
          <w:tblLayout w:type="fixed"/>
          <w:tblCellMar>
            <w:top w:w="15" w:type="dxa"/>
            <w:left w:w="15" w:type="dxa"/>
            <w:bottom w:w="15" w:type="dxa"/>
            <w:right w:w="15" w:type="dxa"/>
          </w:tblCellMar>
        </w:tblPrEx>
        <w:trPr>
          <w:trHeight w:val="72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10:10-10:35</w:t>
            </w:r>
          </w:p>
        </w:tc>
        <w:tc>
          <w:tcPr>
            <w:tcW w:w="5676"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大气气溶胶老化过程及成分反演研究</w:t>
            </w:r>
          </w:p>
        </w:tc>
        <w:tc>
          <w:tcPr>
            <w:tcW w:w="1701"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赵卫雄</w:t>
            </w:r>
          </w:p>
        </w:tc>
        <w:tc>
          <w:tcPr>
            <w:tcW w:w="1275"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研究员</w:t>
            </w:r>
          </w:p>
        </w:tc>
        <w:tc>
          <w:tcPr>
            <w:tcW w:w="29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sz w:val="24"/>
                <w:szCs w:val="21"/>
              </w:rPr>
            </w:pPr>
            <w:r>
              <w:rPr>
                <w:rFonts w:hint="eastAsia" w:ascii="仿宋" w:hAnsi="仿宋" w:eastAsia="仿宋" w:cs="仿宋"/>
                <w:bCs/>
                <w:color w:val="auto"/>
                <w:sz w:val="24"/>
                <w:szCs w:val="21"/>
              </w:rPr>
              <w:t>中国科学院安光所</w:t>
            </w:r>
          </w:p>
        </w:tc>
      </w:tr>
      <w:tr>
        <w:tblPrEx>
          <w:tblLayout w:type="fixed"/>
          <w:tblCellMar>
            <w:top w:w="15" w:type="dxa"/>
            <w:left w:w="15" w:type="dxa"/>
            <w:bottom w:w="15" w:type="dxa"/>
            <w:right w:w="15" w:type="dxa"/>
          </w:tblCellMar>
        </w:tblPrEx>
        <w:trPr>
          <w:trHeight w:val="72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10:35-11:00</w:t>
            </w:r>
          </w:p>
        </w:tc>
        <w:tc>
          <w:tcPr>
            <w:tcW w:w="5676"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exact"/>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冬季AO/NAO对次年夏季我国气候的影响探究</w:t>
            </w:r>
          </w:p>
        </w:tc>
        <w:tc>
          <w:tcPr>
            <w:tcW w:w="1701"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乔少博</w:t>
            </w:r>
          </w:p>
        </w:tc>
        <w:tc>
          <w:tcPr>
            <w:tcW w:w="1275"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博士</w:t>
            </w:r>
          </w:p>
        </w:tc>
        <w:tc>
          <w:tcPr>
            <w:tcW w:w="2977"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国家气候中心</w:t>
            </w:r>
          </w:p>
        </w:tc>
      </w:tr>
      <w:tr>
        <w:tblPrEx>
          <w:tblLayout w:type="fixed"/>
          <w:tblCellMar>
            <w:top w:w="15" w:type="dxa"/>
            <w:left w:w="15" w:type="dxa"/>
            <w:bottom w:w="15" w:type="dxa"/>
            <w:right w:w="15" w:type="dxa"/>
          </w:tblCellMar>
        </w:tblPrEx>
        <w:trPr>
          <w:trHeight w:val="72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11:00-11:25</w:t>
            </w:r>
          </w:p>
        </w:tc>
        <w:tc>
          <w:tcPr>
            <w:tcW w:w="5676"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exact"/>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气溶胶间接辐射对北极增暖放大效应的贡献或云特征遥感反演及其不确定性</w:t>
            </w:r>
          </w:p>
        </w:tc>
        <w:tc>
          <w:tcPr>
            <w:tcW w:w="1701"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赵传峰</w:t>
            </w:r>
          </w:p>
        </w:tc>
        <w:tc>
          <w:tcPr>
            <w:tcW w:w="1275"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教授</w:t>
            </w:r>
          </w:p>
        </w:tc>
        <w:tc>
          <w:tcPr>
            <w:tcW w:w="29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北京师范大学</w:t>
            </w:r>
          </w:p>
        </w:tc>
      </w:tr>
      <w:tr>
        <w:tblPrEx>
          <w:tblLayout w:type="fixed"/>
          <w:tblCellMar>
            <w:top w:w="15" w:type="dxa"/>
            <w:left w:w="15" w:type="dxa"/>
            <w:bottom w:w="15" w:type="dxa"/>
            <w:right w:w="15" w:type="dxa"/>
          </w:tblCellMar>
        </w:tblPrEx>
        <w:trPr>
          <w:trHeight w:val="720" w:hRule="atLeast"/>
        </w:trPr>
        <w:tc>
          <w:tcPr>
            <w:tcW w:w="1549"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11:25-11:50</w:t>
            </w:r>
          </w:p>
        </w:tc>
        <w:tc>
          <w:tcPr>
            <w:tcW w:w="5676"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ind w:left="105" w:leftChars="50" w:right="105" w:rightChars="50"/>
              <w:jc w:val="center"/>
              <w:textAlignment w:val="center"/>
              <w:rPr>
                <w:rFonts w:hint="eastAsia" w:ascii="仿宋" w:hAnsi="仿宋" w:eastAsia="仿宋" w:cs="仿宋"/>
                <w:bCs/>
                <w:color w:val="auto"/>
                <w:kern w:val="0"/>
                <w:sz w:val="24"/>
              </w:rPr>
            </w:pPr>
            <w:r>
              <w:rPr>
                <w:rFonts w:hint="eastAsia" w:ascii="仿宋" w:hAnsi="仿宋" w:eastAsia="仿宋" w:cs="仿宋"/>
                <w:color w:val="auto"/>
                <w:sz w:val="24"/>
              </w:rPr>
              <w:t>An improved temperature vegetation dryness index (iTVDI) and its applicability to drought monitoring</w:t>
            </w:r>
          </w:p>
        </w:tc>
        <w:tc>
          <w:tcPr>
            <w:tcW w:w="1701"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杨若文</w:t>
            </w:r>
          </w:p>
        </w:tc>
        <w:tc>
          <w:tcPr>
            <w:tcW w:w="1275"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副教授</w:t>
            </w:r>
          </w:p>
        </w:tc>
        <w:tc>
          <w:tcPr>
            <w:tcW w:w="2977" w:type="dxa"/>
            <w:tcBorders>
              <w:top w:val="single" w:color="000000" w:sz="4" w:space="0"/>
              <w:left w:val="single" w:color="000000" w:sz="4" w:space="0"/>
              <w:bottom w:val="single" w:color="000000" w:sz="4" w:space="0"/>
              <w:right w:val="single" w:color="000000" w:sz="4" w:space="0"/>
            </w:tcBorders>
            <w:shd w:val="clear" w:color="auto" w:fill="F4B083" w:themeFill="accent2" w:themeFillTint="99"/>
            <w:vAlign w:val="center"/>
          </w:tcPr>
          <w:p>
            <w:pPr>
              <w:widowControl/>
              <w:spacing w:line="360" w:lineRule="auto"/>
              <w:ind w:left="105" w:leftChars="50" w:right="105" w:rightChars="50"/>
              <w:jc w:val="center"/>
              <w:textAlignment w:val="center"/>
              <w:rPr>
                <w:rFonts w:hint="eastAsia" w:ascii="仿宋" w:hAnsi="仿宋" w:eastAsia="仿宋" w:cs="仿宋"/>
                <w:bCs/>
                <w:color w:val="auto"/>
                <w:kern w:val="0"/>
                <w:sz w:val="24"/>
                <w:szCs w:val="21"/>
              </w:rPr>
            </w:pPr>
            <w:r>
              <w:rPr>
                <w:rFonts w:hint="eastAsia" w:ascii="仿宋" w:hAnsi="仿宋" w:eastAsia="仿宋" w:cs="仿宋"/>
                <w:bCs/>
                <w:color w:val="auto"/>
                <w:kern w:val="0"/>
                <w:sz w:val="24"/>
                <w:szCs w:val="21"/>
              </w:rPr>
              <w:t>云南大学</w:t>
            </w:r>
          </w:p>
        </w:tc>
      </w:tr>
    </w:tbl>
    <w:p>
      <w:pPr>
        <w:spacing w:line="360" w:lineRule="auto"/>
        <w:rPr>
          <w:rFonts w:hint="eastAsia"/>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E4"/>
    <w:rsid w:val="00014977"/>
    <w:rsid w:val="000750EE"/>
    <w:rsid w:val="000B3A5A"/>
    <w:rsid w:val="00503C49"/>
    <w:rsid w:val="006C46E4"/>
    <w:rsid w:val="0088430D"/>
    <w:rsid w:val="00A942DB"/>
    <w:rsid w:val="00C72960"/>
    <w:rsid w:val="00C7576D"/>
    <w:rsid w:val="00F560F8"/>
    <w:rsid w:val="5B555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118</Words>
  <Characters>673</Characters>
  <Lines>5</Lines>
  <Paragraphs>1</Paragraphs>
  <TotalTime>0</TotalTime>
  <ScaleCrop>false</ScaleCrop>
  <LinksUpToDate>false</LinksUpToDate>
  <CharactersWithSpaces>790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2017-11-16T10:16:00Z</dcterms:created>
  <dc:creator>chenq</dc:creator>
  <cp:lastModifiedBy>Administrator</cp:lastModifiedBy>
  <dcterms:modified xsi:type="dcterms:W3CDTF">2017-11-17T08:01:30Z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